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1DF1" w14:textId="77777777" w:rsidR="00905D73" w:rsidRDefault="00905D73" w:rsidP="00905D73">
      <w:pPr>
        <w:rPr>
          <w:rStyle w:val="sden1"/>
          <w:rFonts w:eastAsia="Times New Roman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46067BF8" w14:textId="77777777" w:rsidR="00905D73" w:rsidRDefault="00905D73" w:rsidP="00905D73">
      <w:pPr>
        <w:rPr>
          <w:rStyle w:val="sden1"/>
          <w:rFonts w:eastAsia="Times New Roman"/>
        </w:rPr>
      </w:pPr>
    </w:p>
    <w:p w14:paraId="01CEB5A2" w14:textId="77777777" w:rsidR="00905D73" w:rsidRPr="00824E42" w:rsidRDefault="00905D73" w:rsidP="00905D73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721AC7D6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08716199" w14:textId="77777777" w:rsidR="00905D73" w:rsidRPr="00824E42" w:rsidRDefault="00905D73" w:rsidP="00905D73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00B9D093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73834E66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0F638556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77FEF102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0A70BF7C" w14:textId="77777777" w:rsidR="00905D73" w:rsidRPr="00824E42" w:rsidRDefault="00905D73" w:rsidP="00905D73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226E9EF0" w14:textId="77777777" w:rsidR="00905D73" w:rsidRPr="00824E42" w:rsidRDefault="00905D73" w:rsidP="00905D73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08D41B15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4C1FA974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75B4A326" w14:textId="77777777" w:rsidR="00905D73" w:rsidRPr="00824E42" w:rsidRDefault="00905D73" w:rsidP="00905D7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cel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2DE3EB1B" w14:textId="77777777" w:rsidR="00905D73" w:rsidRPr="00824E42" w:rsidRDefault="00905D73" w:rsidP="00905D73">
      <w:pPr>
        <w:autoSpaceDE/>
        <w:autoSpaceDN/>
        <w:jc w:val="both"/>
      </w:pPr>
    </w:p>
    <w:p w14:paraId="1BBF3FDB" w14:textId="77777777" w:rsidR="00905D73" w:rsidRPr="00824E42" w:rsidRDefault="00905D73" w:rsidP="00905D73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13016E42" w14:textId="77777777" w:rsidR="00905D73" w:rsidRPr="00824E42" w:rsidRDefault="00905D73" w:rsidP="00905D73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EF8835" w14:textId="77777777" w:rsidR="00905D73" w:rsidRPr="00824E42" w:rsidRDefault="00905D73" w:rsidP="00905D73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6AF8C3D0" w14:textId="2D8182C5" w:rsidR="00905D73" w:rsidRDefault="00905D73">
      <w:pPr>
        <w:autoSpaceDE/>
        <w:autoSpaceDN/>
        <w:spacing w:after="160" w:line="259" w:lineRule="auto"/>
      </w:pPr>
      <w:r>
        <w:br w:type="page"/>
      </w:r>
    </w:p>
    <w:p w14:paraId="5C829A01" w14:textId="77777777" w:rsidR="00905D73" w:rsidRDefault="00905D73"/>
    <w:p w14:paraId="612B3E76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bookmarkStart w:id="0" w:name="_Hlk132971809"/>
      <w:r>
        <w:rPr>
          <w:rStyle w:val="sden1"/>
          <w:rFonts w:eastAsia="Times New Roman"/>
          <w:specVanish w:val="0"/>
        </w:rPr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53080D82" w14:textId="77777777" w:rsidR="00617099" w:rsidRDefault="00617099" w:rsidP="00617099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bookmarkEnd w:id="0"/>
    <w:p w14:paraId="76FB097E" w14:textId="77777777" w:rsidR="00617099" w:rsidRDefault="00617099" w:rsidP="00617099">
      <w:pPr>
        <w:pStyle w:val="sartttl"/>
        <w:jc w:val="both"/>
        <w:rPr>
          <w:shd w:val="clear" w:color="auto" w:fill="FFFFFF"/>
        </w:rPr>
      </w:pPr>
    </w:p>
    <w:p w14:paraId="4753C8D2" w14:textId="77777777" w:rsidR="00617099" w:rsidRDefault="00617099" w:rsidP="00617099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8.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Autorizarea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încetarea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activităţii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farmaciilor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drogheriilor</w:t>
      </w:r>
      <w:proofErr w:type="spellEnd"/>
      <w:r>
        <w:rPr>
          <w:rStyle w:val="spctbdy"/>
          <w:rFonts w:eastAsia="Times New Roman"/>
        </w:rPr>
        <w:t xml:space="preserve"> online</w:t>
      </w:r>
    </w:p>
    <w:p w14:paraId="744BE991" w14:textId="77777777" w:rsidR="00617099" w:rsidRDefault="00617099" w:rsidP="00617099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12</w:t>
      </w:r>
    </w:p>
    <w:p w14:paraId="1F4C523E" w14:textId="77777777" w:rsidR="00617099" w:rsidRDefault="00617099" w:rsidP="00617099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>/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online, </w:t>
      </w:r>
      <w:proofErr w:type="spellStart"/>
      <w:r>
        <w:rPr>
          <w:rStyle w:val="salnbdy"/>
          <w:rFonts w:eastAsia="Times New Roman"/>
        </w:rPr>
        <w:t>administratorul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societăţii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conducătorul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4DFBE406" w14:textId="77777777" w:rsidR="00617099" w:rsidRDefault="00617099" w:rsidP="00617099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2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367894E" w14:textId="77777777" w:rsidR="00617099" w:rsidRDefault="00617099" w:rsidP="00617099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12 ,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8. ,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29. ,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460B47FB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existenţa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suprafeţe</w:t>
      </w:r>
      <w:proofErr w:type="spellEnd"/>
      <w:r>
        <w:rPr>
          <w:rStyle w:val="slitbdy"/>
          <w:rFonts w:eastAsia="Times New Roman"/>
        </w:rPr>
        <w:t xml:space="preserve"> de minim 10 </w:t>
      </w:r>
      <w:proofErr w:type="spellStart"/>
      <w:r>
        <w:rPr>
          <w:rStyle w:val="slitbdy"/>
          <w:rFonts w:eastAsia="Times New Roman"/>
        </w:rPr>
        <w:t>mp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poate</w:t>
      </w:r>
      <w:proofErr w:type="spellEnd"/>
      <w:r>
        <w:rPr>
          <w:rStyle w:val="slitbdy"/>
          <w:rFonts w:eastAsia="Times New Roman"/>
        </w:rPr>
        <w:t xml:space="preserve"> fi </w:t>
      </w:r>
      <w:proofErr w:type="spellStart"/>
      <w:r>
        <w:rPr>
          <w:rStyle w:val="slitbdy"/>
          <w:rFonts w:eastAsia="Times New Roman"/>
        </w:rPr>
        <w:t>obţinută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reorganizarea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existent, </w:t>
      </w:r>
      <w:proofErr w:type="spellStart"/>
      <w:r>
        <w:rPr>
          <w:rStyle w:val="slitbdy"/>
          <w:rFonts w:eastAsia="Times New Roman"/>
        </w:rPr>
        <w:t>suplimentară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suprafeţelor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 xml:space="preserve"> ca </w:t>
      </w:r>
      <w:proofErr w:type="spellStart"/>
      <w:r>
        <w:rPr>
          <w:rStyle w:val="slitbdy"/>
          <w:rFonts w:eastAsia="Times New Roman"/>
        </w:rPr>
        <w:t>fiind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necesare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desfăşurării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specifice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drogherie</w:t>
      </w:r>
      <w:proofErr w:type="spellEnd"/>
      <w:r>
        <w:rPr>
          <w:rStyle w:val="slitbdy"/>
          <w:rFonts w:eastAsia="Times New Roman"/>
        </w:rPr>
        <w:t xml:space="preserve">. Cei 10 </w:t>
      </w:r>
      <w:proofErr w:type="spellStart"/>
      <w:r>
        <w:rPr>
          <w:rStyle w:val="slitbdy"/>
          <w:rFonts w:eastAsia="Times New Roman"/>
        </w:rPr>
        <w:t>mp</w:t>
      </w:r>
      <w:proofErr w:type="spellEnd"/>
      <w:r>
        <w:rPr>
          <w:rStyle w:val="slitbdy"/>
          <w:rFonts w:eastAsia="Times New Roman"/>
        </w:rPr>
        <w:t xml:space="preserve"> sunt </w:t>
      </w:r>
      <w:proofErr w:type="spellStart"/>
      <w:r>
        <w:rPr>
          <w:rStyle w:val="slitbdy"/>
          <w:rFonts w:eastAsia="Times New Roman"/>
        </w:rPr>
        <w:t>dedicaţi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specifice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drogheriei</w:t>
      </w:r>
      <w:proofErr w:type="spellEnd"/>
      <w:r>
        <w:rPr>
          <w:rStyle w:val="slitbdy"/>
          <w:rFonts w:eastAsia="Times New Roman"/>
        </w:rPr>
        <w:t xml:space="preserve"> online;</w:t>
      </w:r>
    </w:p>
    <w:p w14:paraId="39D54F6F" w14:textId="77777777" w:rsidR="00617099" w:rsidRDefault="00617099" w:rsidP="00617099">
      <w:pPr>
        <w:autoSpaceDE/>
        <w:autoSpaceDN/>
        <w:jc w:val="both"/>
        <w:rPr>
          <w:rStyle w:val="slitbdy"/>
          <w:color w:val="0000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47553AB4" w14:textId="77777777" w:rsidR="00617099" w:rsidRDefault="00617099" w:rsidP="00617099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12 ,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8. ,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29. ,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2BB9DC04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143A4A04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Decizia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numire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farmacistului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responsabil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vânzarea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eliberarea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intermediul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serviciilor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societăţii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informaţionale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medicamentelor</w:t>
      </w:r>
      <w:proofErr w:type="spellEnd"/>
      <w:r>
        <w:rPr>
          <w:rStyle w:val="slitbdy"/>
          <w:rFonts w:eastAsia="Times New Roman"/>
        </w:rPr>
        <w:t xml:space="preserve"> care se </w:t>
      </w:r>
      <w:proofErr w:type="spellStart"/>
      <w:r>
        <w:rPr>
          <w:rStyle w:val="slitbdy"/>
          <w:rFonts w:eastAsia="Times New Roman"/>
        </w:rPr>
        <w:t>acordă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fără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prescripţie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medicală</w:t>
      </w:r>
      <w:proofErr w:type="spellEnd"/>
      <w:r>
        <w:rPr>
          <w:rStyle w:val="slitbdy"/>
          <w:rFonts w:eastAsia="Times New Roman"/>
        </w:rPr>
        <w:t>;</w:t>
      </w:r>
    </w:p>
    <w:p w14:paraId="1B3636A6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</w:rPr>
        <w:t>Declaraţie</w:t>
      </w:r>
      <w:proofErr w:type="spellEnd"/>
      <w:proofErr w:type="gramEnd"/>
      <w:r>
        <w:rPr>
          <w:rStyle w:val="slitbdy"/>
          <w:rFonts w:eastAsia="Times New Roman"/>
        </w:rPr>
        <w:t xml:space="preserve"> program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drogheriei</w:t>
      </w:r>
      <w:proofErr w:type="spellEnd"/>
      <w:r>
        <w:rPr>
          <w:rStyle w:val="slitbdy"/>
          <w:rFonts w:eastAsia="Times New Roman"/>
        </w:rPr>
        <w:t xml:space="preserve"> online;</w:t>
      </w:r>
    </w:p>
    <w:p w14:paraId="09DB44D1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3BEBB67B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transportului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medicamentelor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eliberate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vândute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comerţ</w:t>
      </w:r>
      <w:proofErr w:type="spellEnd"/>
      <w:r>
        <w:rPr>
          <w:rStyle w:val="slitbdy"/>
          <w:rFonts w:eastAsia="Times New Roman"/>
        </w:rPr>
        <w:t xml:space="preserve"> online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condiţiile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prezentul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ordin</w:t>
      </w:r>
      <w:proofErr w:type="spellEnd"/>
      <w:r>
        <w:rPr>
          <w:rStyle w:val="slitbdy"/>
          <w:rFonts w:eastAsia="Times New Roman"/>
        </w:rPr>
        <w:t>;</w:t>
      </w:r>
    </w:p>
    <w:p w14:paraId="5CC45B22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j)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responsabil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vânzarea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eliberarea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intermediul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serviciilor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societăţii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informaţionale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medicamentelor</w:t>
      </w:r>
      <w:proofErr w:type="spellEnd"/>
      <w:r>
        <w:rPr>
          <w:rStyle w:val="slitbdy"/>
          <w:rFonts w:eastAsia="Times New Roman"/>
        </w:rPr>
        <w:t xml:space="preserve"> care se </w:t>
      </w:r>
      <w:proofErr w:type="spellStart"/>
      <w:r>
        <w:rPr>
          <w:rStyle w:val="slitbdy"/>
          <w:rFonts w:eastAsia="Times New Roman"/>
        </w:rPr>
        <w:t>acordă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fără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prescripţie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medicală</w:t>
      </w:r>
      <w:proofErr w:type="spellEnd"/>
      <w:r>
        <w:rPr>
          <w:rStyle w:val="slitbdy"/>
          <w:rFonts w:eastAsia="Times New Roman"/>
        </w:rPr>
        <w:t>;</w:t>
      </w:r>
    </w:p>
    <w:p w14:paraId="73E90802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k)</w:t>
      </w:r>
      <w:r>
        <w:rPr>
          <w:rStyle w:val="slitbdy"/>
          <w:rFonts w:eastAsia="Times New Roman"/>
        </w:rPr>
        <w:t>Contract</w:t>
      </w:r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liberală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responsabil</w:t>
      </w:r>
      <w:proofErr w:type="spellEnd"/>
      <w:r>
        <w:rPr>
          <w:rStyle w:val="slitbdy"/>
          <w:rFonts w:eastAsia="Times New Roman"/>
        </w:rPr>
        <w:t>;</w:t>
      </w:r>
    </w:p>
    <w:p w14:paraId="4DE51AB4" w14:textId="77777777" w:rsidR="00617099" w:rsidRDefault="00617099" w:rsidP="00617099">
      <w:pPr>
        <w:autoSpaceDE/>
        <w:autoSpaceDN/>
        <w:jc w:val="both"/>
        <w:rPr>
          <w:rStyle w:val="spctbdy"/>
        </w:rPr>
      </w:pPr>
      <w:r>
        <w:rPr>
          <w:rStyle w:val="spctttl1"/>
          <w:rFonts w:eastAsia="Times New Roman"/>
        </w:rPr>
        <w:t>l)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Fişa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atribuţii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vizată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Colegiul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Farmaciştilor</w:t>
      </w:r>
      <w:proofErr w:type="spellEnd"/>
      <w:r>
        <w:rPr>
          <w:rStyle w:val="spctbdy"/>
          <w:rFonts w:eastAsia="Times New Roman"/>
        </w:rPr>
        <w:t xml:space="preserve"> din </w:t>
      </w:r>
      <w:proofErr w:type="spellStart"/>
      <w:r>
        <w:rPr>
          <w:rStyle w:val="spctbdy"/>
          <w:rFonts w:eastAsia="Times New Roman"/>
        </w:rPr>
        <w:t>România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postul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farmacistul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responsabil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vânzarea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eliberarea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intermediul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serviciilor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informaţionale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medicamentelor</w:t>
      </w:r>
      <w:proofErr w:type="spellEnd"/>
      <w:r>
        <w:rPr>
          <w:rStyle w:val="spctbdy"/>
          <w:rFonts w:eastAsia="Times New Roman"/>
        </w:rPr>
        <w:t xml:space="preserve"> care se </w:t>
      </w:r>
      <w:proofErr w:type="spellStart"/>
      <w:r>
        <w:rPr>
          <w:rStyle w:val="spctbdy"/>
          <w:rFonts w:eastAsia="Times New Roman"/>
        </w:rPr>
        <w:t>acordă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fără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prescripţie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mentală</w:t>
      </w:r>
      <w:proofErr w:type="spellEnd"/>
      <w:r>
        <w:rPr>
          <w:rStyle w:val="spctbdy"/>
          <w:rFonts w:eastAsia="Times New Roman"/>
        </w:rPr>
        <w:t>;</w:t>
      </w:r>
    </w:p>
    <w:p w14:paraId="693E4D78" w14:textId="77777777" w:rsidR="00617099" w:rsidRDefault="00617099" w:rsidP="00617099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m)</w:t>
      </w:r>
      <w:proofErr w:type="spellStart"/>
      <w:r>
        <w:rPr>
          <w:rStyle w:val="slitbdy"/>
          <w:rFonts w:eastAsia="Times New Roman"/>
        </w:rPr>
        <w:t>Declaraţie</w:t>
      </w:r>
      <w:proofErr w:type="spellEnd"/>
      <w:r>
        <w:rPr>
          <w:rStyle w:val="slitbdy"/>
          <w:rFonts w:eastAsia="Times New Roman"/>
        </w:rPr>
        <w:t xml:space="preserve"> pe </w:t>
      </w:r>
      <w:proofErr w:type="spellStart"/>
      <w:r>
        <w:rPr>
          <w:rStyle w:val="slitbdy"/>
          <w:rFonts w:eastAsia="Times New Roman"/>
        </w:rPr>
        <w:t>proprie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răspundere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privitoare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respectarea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dispoziţiilor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Acordului</w:t>
      </w:r>
      <w:proofErr w:type="spellEnd"/>
      <w:r>
        <w:rPr>
          <w:rStyle w:val="slitbdy"/>
          <w:rFonts w:eastAsia="Times New Roman"/>
        </w:rPr>
        <w:t xml:space="preserve"> de Logo </w:t>
      </w:r>
      <w:proofErr w:type="spellStart"/>
      <w:r>
        <w:rPr>
          <w:rStyle w:val="slitbdy"/>
          <w:rFonts w:eastAsia="Times New Roman"/>
        </w:rPr>
        <w:t>semnat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Comisia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Europeană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publicat</w:t>
      </w:r>
      <w:proofErr w:type="spellEnd"/>
      <w:r>
        <w:rPr>
          <w:rStyle w:val="slitbdy"/>
          <w:rFonts w:eastAsia="Times New Roman"/>
        </w:rPr>
        <w:t xml:space="preserve"> pe site-</w:t>
      </w:r>
      <w:proofErr w:type="spellStart"/>
      <w:r>
        <w:rPr>
          <w:rStyle w:val="slitbdy"/>
          <w:rFonts w:eastAsia="Times New Roman"/>
        </w:rPr>
        <w:t>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Ministerului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>.</w:t>
      </w:r>
    </w:p>
    <w:p w14:paraId="162EEBE2" w14:textId="77777777" w:rsidR="00617099" w:rsidRDefault="00617099" w:rsidP="00617099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n)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înscrierii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activităţii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vânzare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medicamente</w:t>
      </w:r>
      <w:proofErr w:type="spellEnd"/>
      <w:r>
        <w:rPr>
          <w:rStyle w:val="slitbdy"/>
          <w:rFonts w:eastAsia="Times New Roman"/>
          <w:color w:val="0000FF"/>
        </w:rPr>
        <w:t xml:space="preserve"> online, conform </w:t>
      </w:r>
      <w:proofErr w:type="spellStart"/>
      <w:r>
        <w:rPr>
          <w:rStyle w:val="slitbdy"/>
          <w:rFonts w:eastAsia="Times New Roman"/>
          <w:color w:val="0000FF"/>
        </w:rPr>
        <w:t>Codului</w:t>
      </w:r>
      <w:proofErr w:type="spellEnd"/>
      <w:r>
        <w:rPr>
          <w:rStyle w:val="slitbdy"/>
          <w:rFonts w:eastAsia="Times New Roman"/>
          <w:color w:val="0000FF"/>
        </w:rPr>
        <w:t xml:space="preserve"> CAEN.</w:t>
      </w:r>
    </w:p>
    <w:p w14:paraId="211BF72C" w14:textId="77777777" w:rsidR="00617099" w:rsidRDefault="00617099" w:rsidP="00617099">
      <w:pPr>
        <w:pStyle w:val="NormalWeb"/>
        <w:spacing w:before="0" w:after="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l)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(1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12 ,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8. ,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27,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48E6240E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lastRenderedPageBreak/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solicită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desfăşurarea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comerţului</w:t>
      </w:r>
      <w:proofErr w:type="spellEnd"/>
      <w:r>
        <w:rPr>
          <w:rStyle w:val="salnbdy"/>
          <w:rFonts w:eastAsia="Times New Roman"/>
        </w:rPr>
        <w:t xml:space="preserve"> electronic cu </w:t>
      </w:r>
      <w:proofErr w:type="spellStart"/>
      <w:r>
        <w:rPr>
          <w:rStyle w:val="salnbdy"/>
          <w:rFonts w:eastAsia="Times New Roman"/>
        </w:rPr>
        <w:t>medicamente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40021B75" w14:textId="77777777" w:rsidR="00617099" w:rsidRDefault="00617099" w:rsidP="00617099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Farmacistul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responsabil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vânzarea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intermediul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serviciilor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societăţii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informaţionale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medicamentelor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poate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schimbat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respectarea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condiţiilor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7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(6)</w:t>
      </w:r>
      <w:r>
        <w:rPr>
          <w:rStyle w:val="salnbdy"/>
          <w:rFonts w:eastAsia="Times New Roman"/>
          <w:color w:val="0000FF"/>
        </w:rPr>
        <w:t>.</w:t>
      </w:r>
    </w:p>
    <w:p w14:paraId="2BE42056" w14:textId="77777777" w:rsidR="00617099" w:rsidRDefault="00617099" w:rsidP="00617099">
      <w:pPr>
        <w:pStyle w:val="NormalWeb"/>
        <w:spacing w:before="0" w:after="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12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8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28,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69B94BFF" w14:textId="77777777" w:rsidR="00617099" w:rsidRDefault="00617099" w:rsidP="00617099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13</w:t>
      </w:r>
    </w:p>
    <w:p w14:paraId="04A55DCA" w14:textId="77777777" w:rsidR="00617099" w:rsidRDefault="00617099" w:rsidP="0061709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Farmacia</w:t>
      </w:r>
      <w:proofErr w:type="spellEnd"/>
      <w:proofErr w:type="gramEnd"/>
      <w:r>
        <w:rPr>
          <w:rStyle w:val="salnbdy"/>
          <w:rFonts w:eastAsia="Times New Roman"/>
        </w:rPr>
        <w:t>/</w:t>
      </w:r>
      <w:proofErr w:type="spellStart"/>
      <w:r>
        <w:rPr>
          <w:rStyle w:val="salnbdy"/>
          <w:rFonts w:eastAsia="Times New Roman"/>
        </w:rPr>
        <w:t>drogheria</w:t>
      </w:r>
      <w:proofErr w:type="spellEnd"/>
      <w:r>
        <w:rPr>
          <w:rStyle w:val="salnbdy"/>
          <w:rFonts w:eastAsia="Times New Roman"/>
        </w:rPr>
        <w:t xml:space="preserve"> online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înceta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notificarea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vederea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>.</w:t>
      </w:r>
    </w:p>
    <w:p w14:paraId="570BD44A" w14:textId="77777777" w:rsidR="00617099" w:rsidRDefault="00617099" w:rsidP="00617099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aplicarea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prevederilor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7BDC06C7" w14:textId="77777777" w:rsidR="00617099" w:rsidRDefault="00617099" w:rsidP="00617099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42FCEFB6" w14:textId="77777777" w:rsidR="00617099" w:rsidRDefault="00617099" w:rsidP="00617099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4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7C84F6D9" w14:textId="77777777" w:rsidR="00617099" w:rsidRDefault="00617099" w:rsidP="00617099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13 ,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8. ,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30. ,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13FEEBF4" w14:textId="77777777" w:rsidR="00617099" w:rsidRDefault="00617099" w:rsidP="00617099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5AEB2B4" w14:textId="77777777" w:rsidR="00617099" w:rsidRDefault="00617099" w:rsidP="00617099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13 ,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8. ,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30. ,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A49CEBF" w14:textId="0A0A6CAD" w:rsidR="00905D73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</w:p>
    <w:p w14:paraId="243025F1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4BDC6D7B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3A22FE91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15BBEAB9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5C89B178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670B55C1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5FC0D39A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4461AB61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6718BA1F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08E4205B" w14:textId="77777777" w:rsidR="00617099" w:rsidRDefault="00617099" w:rsidP="00617099">
      <w:pPr>
        <w:autoSpaceDE/>
        <w:autoSpaceDN/>
        <w:spacing w:after="160" w:line="259" w:lineRule="auto"/>
        <w:rPr>
          <w:rStyle w:val="slitbdy"/>
          <w:rFonts w:eastAsia="Times New Roman"/>
        </w:rPr>
      </w:pPr>
    </w:p>
    <w:p w14:paraId="3BB59047" w14:textId="77777777" w:rsidR="00617099" w:rsidRDefault="00617099" w:rsidP="00617099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2</w:t>
      </w:r>
    </w:p>
    <w:p w14:paraId="3F6CD50D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Către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Publică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Judeţului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</w:t>
      </w:r>
    </w:p>
    <w:p w14:paraId="4D3624B8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adresa:.....................................................................,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Raportului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Deciziei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312B8E3F" w14:textId="77777777" w:rsidR="00617099" w:rsidRDefault="00617099" w:rsidP="00617099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6EFCD3D6" w14:textId="77777777" w:rsidR="00617099" w:rsidRDefault="00617099" w:rsidP="00617099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7457A77C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61C12BDE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4ABCCC2C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47F19CBC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1B16AF97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505AFEC8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4DED3112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1F806764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1C0B37BB" w14:textId="77777777" w:rsidR="00617099" w:rsidRDefault="00617099" w:rsidP="00617099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7565B096" w14:textId="77777777" w:rsidR="00617099" w:rsidRDefault="00617099" w:rsidP="00617099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9345869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8309FF7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C75AF2F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9CE597F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C4C1230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2D6285FE" w14:textId="77777777" w:rsidR="00617099" w:rsidRDefault="00617099" w:rsidP="00617099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37BB30D9" w14:textId="77777777" w:rsidR="00617099" w:rsidRDefault="00617099" w:rsidP="00617099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234DCAED" w14:textId="77777777" w:rsidR="00617099" w:rsidRDefault="00617099" w:rsidP="00617099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7A6EB49F" w14:textId="77777777" w:rsidR="00617099" w:rsidRDefault="00617099" w:rsidP="00617099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04141F64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617099" w14:paraId="51584729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FAE6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411A0C8A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F5FF2CF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3EF2BF86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1AA46BC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3F9C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465D2F0C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7FE2A99C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3591C61A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346993CF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42AEDD5D" w14:textId="77777777" w:rsidR="00617099" w:rsidRDefault="00617099" w:rsidP="00617099"/>
    <w:p w14:paraId="496F2116" w14:textId="77777777" w:rsidR="00617099" w:rsidRDefault="00617099" w:rsidP="00617099"/>
    <w:p w14:paraId="47551CD6" w14:textId="77777777" w:rsidR="00617099" w:rsidRDefault="00617099" w:rsidP="00617099"/>
    <w:p w14:paraId="27402166" w14:textId="77777777" w:rsidR="00617099" w:rsidRDefault="00617099" w:rsidP="00617099"/>
    <w:p w14:paraId="624E0FDB" w14:textId="77777777" w:rsidR="00617099" w:rsidRDefault="00617099" w:rsidP="00617099"/>
    <w:p w14:paraId="67C34189" w14:textId="77777777" w:rsidR="00617099" w:rsidRDefault="00617099" w:rsidP="00617099"/>
    <w:p w14:paraId="48B62413" w14:textId="77777777" w:rsidR="00617099" w:rsidRDefault="00617099" w:rsidP="00617099"/>
    <w:p w14:paraId="0E92B7AF" w14:textId="77777777" w:rsidR="00617099" w:rsidRDefault="00617099" w:rsidP="00617099"/>
    <w:p w14:paraId="2D9D72B1" w14:textId="77777777" w:rsidR="00617099" w:rsidRDefault="00617099" w:rsidP="00617099"/>
    <w:p w14:paraId="0C45BA09" w14:textId="77777777" w:rsidR="00617099" w:rsidRDefault="00617099" w:rsidP="00617099"/>
    <w:p w14:paraId="69FE948E" w14:textId="77777777" w:rsidR="00617099" w:rsidRDefault="00617099" w:rsidP="00617099"/>
    <w:p w14:paraId="6695E8A5" w14:textId="77777777" w:rsidR="00617099" w:rsidRDefault="00617099" w:rsidP="00617099"/>
    <w:p w14:paraId="200AF2B6" w14:textId="77777777" w:rsidR="00617099" w:rsidRDefault="00617099" w:rsidP="00617099"/>
    <w:p w14:paraId="5F0DF1C1" w14:textId="77777777" w:rsidR="00617099" w:rsidRDefault="00617099" w:rsidP="00617099"/>
    <w:p w14:paraId="35005773" w14:textId="77777777" w:rsidR="00617099" w:rsidRDefault="00617099" w:rsidP="00617099"/>
    <w:p w14:paraId="6927A48D" w14:textId="77777777" w:rsidR="00617099" w:rsidRDefault="00617099" w:rsidP="00617099"/>
    <w:p w14:paraId="30E0A3E5" w14:textId="77777777" w:rsidR="00617099" w:rsidRDefault="00617099" w:rsidP="00617099"/>
    <w:p w14:paraId="34FC4688" w14:textId="77777777" w:rsidR="00617099" w:rsidRDefault="00617099" w:rsidP="00617099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4</w:t>
      </w:r>
    </w:p>
    <w:p w14:paraId="4D2AAE0A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79639F47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DIRECŢIA FARMACEUTICĂ ŞI DISPOZITIVE MEDICALE </w:t>
      </w:r>
    </w:p>
    <w:p w14:paraId="7DE26B56" w14:textId="77777777" w:rsidR="00617099" w:rsidRDefault="00617099" w:rsidP="00617099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/a, 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....................., e-mail 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/cod fiscal 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rog </w:t>
      </w:r>
      <w:proofErr w:type="spellStart"/>
      <w:r>
        <w:rPr>
          <w:rStyle w:val="spar3"/>
          <w:rFonts w:eastAsia="Times New Roman"/>
          <w:color w:val="0000FF"/>
          <w:specVanish w:val="0"/>
        </w:rPr>
        <w:t>să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emiteţi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Anexa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modificarea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condiţiilor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iniţiale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respectiv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723CCEE1" w14:textId="77777777" w:rsidR="00617099" w:rsidRDefault="00617099" w:rsidP="00617099">
      <w:pPr>
        <w:pStyle w:val="spar"/>
        <w:ind w:left="450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1D98BB2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1D0EC2E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37016340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B494D1D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56203A95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D74594C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392730D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0454ADA4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3F961FFB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D55AAE2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A89A3F9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</w:t>
      </w:r>
    </w:p>
    <w:p w14:paraId="6D647BAB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</w:t>
      </w:r>
    </w:p>
    <w:p w14:paraId="42E944C2" w14:textId="77777777" w:rsidR="00617099" w:rsidRDefault="00617099" w:rsidP="00617099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09FFA736" w14:textId="77777777" w:rsidR="00617099" w:rsidRDefault="00617099" w:rsidP="00617099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2FBE8933" w14:textId="77777777" w:rsidR="00617099" w:rsidRDefault="00617099" w:rsidP="00617099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3BA2476A" w14:textId="77777777" w:rsidR="00617099" w:rsidRDefault="00617099" w:rsidP="00617099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..........................................................</w:t>
      </w:r>
    </w:p>
    <w:p w14:paraId="5B9A77D6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617099" w14:paraId="071FED8B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42DC6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658CE762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69958E5D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298377FA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339E84C4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2FF6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4934EBA0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0E402B40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4EC7ECB9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66D15111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6EE8A457" w14:textId="77777777" w:rsidR="00617099" w:rsidRDefault="00617099" w:rsidP="00617099"/>
    <w:p w14:paraId="6DF59C4F" w14:textId="77777777" w:rsidR="00617099" w:rsidRDefault="00617099" w:rsidP="00617099">
      <w:pPr>
        <w:jc w:val="both"/>
      </w:pPr>
    </w:p>
    <w:p w14:paraId="027A6289" w14:textId="77777777" w:rsidR="00617099" w:rsidRDefault="00617099" w:rsidP="00617099">
      <w:pPr>
        <w:jc w:val="both"/>
      </w:pPr>
    </w:p>
    <w:p w14:paraId="2C22E189" w14:textId="77777777" w:rsidR="00617099" w:rsidRDefault="00617099" w:rsidP="00617099">
      <w:pPr>
        <w:jc w:val="both"/>
      </w:pPr>
    </w:p>
    <w:p w14:paraId="51330E5A" w14:textId="77777777" w:rsidR="00617099" w:rsidRDefault="00617099" w:rsidP="00617099">
      <w:pPr>
        <w:jc w:val="both"/>
      </w:pPr>
    </w:p>
    <w:p w14:paraId="2EBA6B69" w14:textId="77777777" w:rsidR="00617099" w:rsidRDefault="00617099" w:rsidP="00617099">
      <w:pPr>
        <w:jc w:val="both"/>
      </w:pPr>
    </w:p>
    <w:p w14:paraId="40B77762" w14:textId="77777777" w:rsidR="00617099" w:rsidRDefault="00617099" w:rsidP="00617099">
      <w:pPr>
        <w:jc w:val="both"/>
      </w:pPr>
    </w:p>
    <w:p w14:paraId="596BB514" w14:textId="77777777" w:rsidR="00617099" w:rsidRDefault="00617099" w:rsidP="00617099">
      <w:pPr>
        <w:jc w:val="both"/>
      </w:pPr>
    </w:p>
    <w:p w14:paraId="140EAF3D" w14:textId="77777777" w:rsidR="00617099" w:rsidRDefault="00617099" w:rsidP="00617099">
      <w:pPr>
        <w:jc w:val="both"/>
      </w:pPr>
    </w:p>
    <w:p w14:paraId="12656B03" w14:textId="77777777" w:rsidR="00617099" w:rsidRDefault="00617099" w:rsidP="00617099">
      <w:pPr>
        <w:jc w:val="both"/>
      </w:pPr>
    </w:p>
    <w:p w14:paraId="57C7203D" w14:textId="77777777" w:rsidR="00617099" w:rsidRDefault="00617099" w:rsidP="00617099">
      <w:pPr>
        <w:jc w:val="both"/>
      </w:pPr>
    </w:p>
    <w:p w14:paraId="0D2CAF50" w14:textId="77777777" w:rsidR="00617099" w:rsidRDefault="00617099" w:rsidP="00617099">
      <w:pPr>
        <w:jc w:val="both"/>
      </w:pPr>
    </w:p>
    <w:p w14:paraId="064E39CD" w14:textId="77777777" w:rsidR="00617099" w:rsidRDefault="00617099" w:rsidP="00617099">
      <w:pPr>
        <w:jc w:val="both"/>
      </w:pPr>
    </w:p>
    <w:p w14:paraId="020C279F" w14:textId="77777777" w:rsidR="00617099" w:rsidRDefault="00617099" w:rsidP="00617099">
      <w:pPr>
        <w:jc w:val="both"/>
      </w:pPr>
    </w:p>
    <w:p w14:paraId="2758B071" w14:textId="77777777" w:rsidR="00617099" w:rsidRDefault="00617099" w:rsidP="00617099">
      <w:pPr>
        <w:jc w:val="both"/>
      </w:pPr>
    </w:p>
    <w:p w14:paraId="1075A2F1" w14:textId="77777777" w:rsidR="00617099" w:rsidRDefault="00617099" w:rsidP="00617099">
      <w:pPr>
        <w:jc w:val="both"/>
      </w:pPr>
    </w:p>
    <w:p w14:paraId="0BF8B166" w14:textId="77777777" w:rsidR="00617099" w:rsidRDefault="00617099" w:rsidP="00617099">
      <w:pPr>
        <w:jc w:val="both"/>
      </w:pPr>
    </w:p>
    <w:p w14:paraId="5EBA5238" w14:textId="77777777" w:rsidR="00617099" w:rsidRDefault="00617099" w:rsidP="00617099">
      <w:pPr>
        <w:jc w:val="both"/>
      </w:pPr>
    </w:p>
    <w:p w14:paraId="2CF12914" w14:textId="77777777" w:rsidR="00617099" w:rsidRDefault="00617099" w:rsidP="00617099">
      <w:pPr>
        <w:jc w:val="both"/>
      </w:pPr>
    </w:p>
    <w:p w14:paraId="3AC1ABF9" w14:textId="77777777" w:rsidR="00617099" w:rsidRDefault="00617099" w:rsidP="00617099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7</w:t>
      </w:r>
    </w:p>
    <w:p w14:paraId="32EF42C7" w14:textId="77777777" w:rsidR="00617099" w:rsidRDefault="00617099" w:rsidP="00617099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1FE1A589" w14:textId="77777777" w:rsidR="00617099" w:rsidRDefault="00617099" w:rsidP="00617099">
      <w:pPr>
        <w:autoSpaceDE/>
        <w:autoSpaceDN/>
        <w:ind w:left="450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 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………, e-mail 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 cod fiscal 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informez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cadrul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societăţii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sanitare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..................................................au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intervenit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următoarele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2E98390F" w14:textId="77777777" w:rsidR="00617099" w:rsidRDefault="00617099" w:rsidP="00617099">
      <w:pPr>
        <w:pStyle w:val="spar"/>
        <w:ind w:left="675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20D1C872" w14:textId="77777777" w:rsidR="00617099" w:rsidRDefault="00617099" w:rsidP="00617099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2B0388A5" w14:textId="77777777" w:rsidR="00617099" w:rsidRDefault="00617099" w:rsidP="00617099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419DE381" w14:textId="77777777" w:rsidR="00617099" w:rsidRDefault="00617099" w:rsidP="00617099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612DA33A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</w:t>
      </w:r>
    </w:p>
    <w:p w14:paraId="2EDBE055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439E4CF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C0BC16C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A083F79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977ECE2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8C77177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658DA7E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9C2DBB4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2373709E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EB42A47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00C6A736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00965AF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638EC4B6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771D7320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FD679E0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20E6BE8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1E4E5B7B" w14:textId="77777777" w:rsidR="00617099" w:rsidRDefault="00617099" w:rsidP="00617099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617099" w14:paraId="144380A8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3A00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1F75F44F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0B2A3A2B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6E063153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7E9F35B5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6AFF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6F01976B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2B1ADB75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4061ED72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7DF155F" w14:textId="77777777" w:rsidR="00617099" w:rsidRDefault="00617099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7CAB67C6" w14:textId="77777777" w:rsidR="00617099" w:rsidRDefault="00617099" w:rsidP="00617099">
      <w:pPr>
        <w:jc w:val="both"/>
      </w:pPr>
    </w:p>
    <w:p w14:paraId="21790B5C" w14:textId="77777777" w:rsidR="00617099" w:rsidRPr="00905D73" w:rsidRDefault="00617099" w:rsidP="00617099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</w:p>
    <w:sectPr w:rsidR="00617099" w:rsidRPr="0090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58"/>
    <w:rsid w:val="002F067E"/>
    <w:rsid w:val="0047766C"/>
    <w:rsid w:val="004932DE"/>
    <w:rsid w:val="00617099"/>
    <w:rsid w:val="00905D73"/>
    <w:rsid w:val="00A56558"/>
    <w:rsid w:val="00CA2C95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4F38"/>
  <w15:chartTrackingRefBased/>
  <w15:docId w15:val="{BAECE346-25AA-4B72-BAB3-69F3142E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D73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tttl">
    <w:name w:val="s_art_ttl"/>
    <w:basedOn w:val="Normal"/>
    <w:rsid w:val="00905D73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05D73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905D7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905D7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905D7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905D7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905D7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905D7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905D7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905D73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905D73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905D7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905D7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905D7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hdr">
    <w:name w:val="s_hdr"/>
    <w:basedOn w:val="Normal"/>
    <w:rsid w:val="00905D73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par1">
    <w:name w:val="s_par1"/>
    <w:basedOn w:val="Normal"/>
    <w:rsid w:val="00617099"/>
    <w:pPr>
      <w:autoSpaceDE/>
      <w:autoSpaceDN/>
    </w:pPr>
    <w:rPr>
      <w:rFonts w:eastAsiaTheme="minorEastAs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3</cp:revision>
  <dcterms:created xsi:type="dcterms:W3CDTF">2025-03-14T12:12:00Z</dcterms:created>
  <dcterms:modified xsi:type="dcterms:W3CDTF">2025-03-14T12:15:00Z</dcterms:modified>
</cp:coreProperties>
</file>